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40.jpg" ContentType="image/jpeg"/>
  <Override PartName="/word/media/rId43.jpg" ContentType="image/jpeg"/>
  <Override PartName="/word/media/rId58.jpg" ContentType="image/jpeg"/>
  <Override PartName="/word/media/rId38.jpg" ContentType="image/jpeg"/>
  <Override PartName="/word/media/rId61.jpg" ContentType="image/jpeg"/>
  <Override PartName="/word/media/rId52.jpg" ContentType="image/jpeg"/>
  <Override PartName="/word/media/rId59.jpg" ContentType="image/jpeg"/>
  <Override PartName="/word/media/rId50.jpg" ContentType="image/jpeg"/>
  <Override PartName="/word/media/rId62.jpg" ContentType="image/jpeg"/>
  <Override PartName="/word/media/rId60.jpg" ContentType="image/jpeg"/>
  <Override PartName="/word/media/rId47.jpg" ContentType="image/jpeg"/>
  <Override PartName="/word/media/rId44.jpg" ContentType="image/jpeg"/>
  <Override PartName="/word/media/rId54.jpg" ContentType="image/jpeg"/>
  <Override PartName="/word/media/rId53.jpg" ContentType="image/jpeg"/>
  <Override PartName="/word/media/rId56.jpg" ContentType="image/jpeg"/>
  <Override PartName="/word/media/rId45.jpg" ContentType="image/jpeg"/>
  <Override PartName="/word/media/rId46.jpg" ContentType="image/jpeg"/>
  <Override PartName="/word/media/rId49.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12</w:t>
      </w:r>
      <w:r>
        <w:t xml:space="preserve"> </w:t>
      </w:r>
      <w:r>
        <w:t xml:space="preserve">October,</w:t>
      </w:r>
      <w:r>
        <w:t xml:space="preserve"> </w:t>
      </w:r>
      <w:r>
        <w:t xml:space="preserve">2020</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(1930, 1928, 1921)</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 pp. 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2. Early Iron Age Knossos</w:t>
      </w:r>
    </w:p>
    <w:p>
      <w:pPr>
        <w:pStyle w:val="Heading2"/>
      </w:pPr>
      <w:bookmarkStart w:id="26" w:name="settlement-evidence-a-meagre-filling-in-a-very-thick-sandwich"/>
      <w:bookmarkEnd w:id="26"/>
      <w:r>
        <w:t xml:space="preserve">2.1 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(Α</w:t>
      </w:r>
      <m:oMath>
        <m:r>
          <m:t>λ</m:t>
        </m:r>
      </m:oMath>
      <m:oMath>
        <m:r>
          <m:t>ϵ</m:t>
        </m:r>
      </m:oMath>
      <m:oMath>
        <m:r>
          <m:t>ξ</m:t>
        </m:r>
      </m:oMath>
      <w:r>
        <w:t xml:space="preserve">ίο</w:t>
      </w:r>
      <m:oMath>
        <m:r>
          <m:t>υ</m:t>
        </m:r>
      </m:oMath>
      <w:r>
        <w:t xml:space="preserve">, 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and, more recently, findings of the Knossos Urban Landscape Project (KULP)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2.2 The Early Iron Age Cemeteries</w:t>
      </w:r>
    </w:p>
    <w:p>
      <w:pPr>
        <w:pStyle w:val="FigureWithCaption"/>
      </w:pPr>
      <w:r>
        <w:drawing>
          <wp:inline>
            <wp:extent cx="5943600" cy="8408019"/>
            <wp:effectExtent b="0" l="0" r="0" t="0"/>
            <wp:docPr descr="Figure 1: goes around here" title="" id="1" name="Picture"/>
            <a:graphic>
              <a:graphicData uri="http://schemas.openxmlformats.org/drawingml/2006/picture">
                <pic:pic>
                  <pic:nvPicPr>
                    <pic:cNvPr descr="../figures/Knossos%20Tombs%20Map2.jpg" id="0" name="Picture"/>
                    <pic:cNvPicPr>
                      <a:picLocks noChangeArrowheads="1" noChangeAspect="1"/>
                    </pic:cNvPicPr>
                  </pic:nvPicPr>
                  <pic:blipFill>
                    <a:blip r:embed="rId28"/>
                    <a:stretch>
                      <a:fillRect/>
                    </a:stretch>
                  </pic:blipFill>
                  <pic:spPr bwMode="auto">
                    <a:xfrm>
                      <a:off x="0" y="0"/>
                      <a:ext cx="5943600" cy="8408019"/>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cf. Hoffman, 1997</w:t>
      </w:r>
      <w:r>
        <w:t xml:space="preserve"> </w:t>
      </w:r>
      <w:r>
        <w:t xml:space="preserve">Kotsonas (2006)</w:t>
      </w:r>
      <w:r>
        <w:t xml:space="preserve">; Hutchinson and Boardman, 1954)</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 (Brock 1957: xi), grouped into three main clusters running north to south. Three of those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2.4 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2006: 582, 1998: 58)</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2.6 Number Crunching: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3" w:name="methods"/>
      <w:bookmarkEnd w:id="33"/>
      <w:r>
        <w:t xml:space="preserve">3. Methods</w:t>
      </w:r>
    </w:p>
    <w:p>
      <w:pPr>
        <w:pStyle w:val="Heading2"/>
      </w:pPr>
      <w:bookmarkStart w:id="34" w:name="databases"/>
      <w:bookmarkEnd w:id="34"/>
      <w:r>
        <w:t xml:space="preserve">3.1 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2017a, 2017b)</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3.3 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2</w:t>
      </w:r>
      <w:r>
        <w:t xml:space="preserve">). Here, the mean of these three estimates was taken, to provide a single aggregate measure for the purposes of analysis.</w:t>
      </w:r>
    </w:p>
    <w:p>
      <w:pPr>
        <w:pStyle w:val="FigureWithCaption"/>
      </w:pPr>
      <w:r>
        <w:drawing>
          <wp:inline>
            <wp:extent cx="5943600" cy="5943600"/>
            <wp:effectExtent b="0" l="0" r="0" t="0"/>
            <wp:docPr descr="Figure 2: goes around here" title="" id="1" name="Picture"/>
            <a:graphic>
              <a:graphicData uri="http://schemas.openxmlformats.org/drawingml/2006/picture">
                <pic:pic>
                  <pic:nvPicPr>
                    <pic:cNvPr descr="../figures/burialestimate-1.jpe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9" w:name="aoristic-approaches-to-dating"/>
      <w:bookmarkEnd w:id="39"/>
      <w:r>
        <w:t xml:space="preserve">3.4 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2971800"/>
            <wp:effectExtent b="0" l="0" r="0" t="0"/>
            <wp:docPr descr="Figure 3: goes around here" title="" id="1" name="Picture"/>
            <a:graphic>
              <a:graphicData uri="http://schemas.openxmlformats.org/drawingml/2006/picture">
                <pic:pic>
                  <pic:nvPicPr>
                    <pic:cNvPr descr="../figures/allpithoi-1.jpeg" id="0" name="Picture"/>
                    <pic:cNvPicPr>
                      <a:picLocks noChangeArrowheads="1" noChangeAspect="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3: goes around here</w:t>
      </w:r>
    </w:p>
    <w:p>
      <w:pPr>
        <w:pStyle w:val="BodyText"/>
      </w:pPr>
      <w:r>
        <w:t xml:space="preserve">But the artificial clustering this technique engenders around select absolute dates can prove misleading, as in Figure</w:t>
      </w:r>
      <w:r>
        <w:t xml:space="preserve"> </w:t>
      </w:r>
      <w:r>
        <w:t xml:space="preserve">3</w:t>
      </w:r>
      <w:r>
        <w:t xml:space="preserve">;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BodyText"/>
      </w:pPr>
      <w:r>
        <w:t xml:space="preserve">As seen in Figure</w:t>
      </w:r>
      <w:r>
        <w:t xml:space="preserve"> </w:t>
      </w:r>
      <w:r>
        <w:t xml:space="preserve">??</w:t>
      </w:r>
      <w:r>
        <w:t xml:space="preserve">,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1" w:name="analysis"/>
      <w:bookmarkEnd w:id="41"/>
      <w:r>
        <w:t xml:space="preserve">4. Analysis</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2" w:name="temporal-developments-in-the-knossian-cemeteries"/>
      <w:bookmarkEnd w:id="42"/>
      <w:r>
        <w:t xml:space="preserve">4.1 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2971800"/>
            <wp:effectExtent b="0" l="0" r="0" t="0"/>
            <wp:docPr descr="Figure 4: goesaround here." title="" id="1" name="Picture"/>
            <a:graphic>
              <a:graphicData uri="http://schemas.openxmlformats.org/drawingml/2006/picture">
                <pic:pic>
                  <pic:nvPicPr>
                    <pic:cNvPr descr="../figures/aoristbycem-1.jpeg" id="0" name="Picture"/>
                    <pic:cNvPicPr>
                      <a:picLocks noChangeArrowheads="1" noChangeAspect="1"/>
                    </pic:cNvPicPr>
                  </pic:nvPicPr>
                  <pic:blipFill>
                    <a:blip r:embed="rId4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goesaround here.</w:t>
      </w:r>
    </w:p>
    <w:p>
      <w:pPr>
        <w:pStyle w:val="BodyText"/>
      </w:pPr>
      <w:r>
        <w:t xml:space="preserve">And, despite differences in scale and timing, it is immediately apparent from Figure</w:t>
      </w:r>
      <w:r>
        <w:t xml:space="preserve"> </w:t>
      </w:r>
      <w:r>
        <w:t xml:space="preserve">4</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5: goes around here"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4"/>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5: goes around here</w:t>
      </w:r>
    </w:p>
    <w:p>
      <w:pPr>
        <w:pStyle w:val="BodyText"/>
      </w:pPr>
      <w:r>
        <w:t xml:space="preserve">Figure</w:t>
      </w:r>
      <w:r>
        <w:t xml:space="preserve"> </w:t>
      </w:r>
      <w:r>
        <w:t xml:space="preserve">5</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5943600" cy="5943600"/>
            <wp:effectExtent b="0" l="0" r="0" t="0"/>
            <wp:docPr descr="Figure 6: goes around here" title="" id="1" name="Picture"/>
            <a:graphic>
              <a:graphicData uri="http://schemas.openxmlformats.org/drawingml/2006/picture">
                <pic:pic>
                  <pic:nvPicPr>
                    <pic:cNvPr descr="../figures/tombsinuse-1.jpe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These countervalent trends are observable too in the number of tombs receiving depositions in each period (Figure</w:t>
      </w:r>
      <w:r>
        <w:t xml:space="preserve"> </w:t>
      </w:r>
      <w:r>
        <w:t xml:space="preserve">6</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3396342"/>
            <wp:effectExtent b="0" l="0" r="0" t="0"/>
            <wp:docPr descr="Figure 7: goes around here"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But the net increase in active tombs in the 8th century belies a more complex pattern (Figure</w:t>
      </w:r>
      <w:r>
        <w:t xml:space="preserve"> </w:t>
      </w:r>
      <w:r>
        <w:t xml:space="preserve">7</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5943600" cy="11887200"/>
            <wp:effectExtent b="0" l="0" r="0" t="0"/>
            <wp:docPr descr="Figure 8: goes around here"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7"/>
                    <a:stretch>
                      <a:fillRect/>
                    </a:stretch>
                  </pic:blipFill>
                  <pic:spPr bwMode="auto">
                    <a:xfrm>
                      <a:off x="0" y="0"/>
                      <a:ext cx="5943600" cy="11887200"/>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However, we see from Figure</w:t>
      </w:r>
      <w:r>
        <w:t xml:space="preserve"> </w:t>
      </w:r>
      <w:r>
        <w:t xml:space="preserve">8</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7</w:t>
      </w:r>
      <w:r>
        <w:t xml:space="preserve">, they were, at this time, declining in number.</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older tombs, while, based on KULP’s survey data, the major population increase at EIA Knossos probably occurred back in the Protogeometric period (Whitelaw, pers. comm.).</w:t>
      </w:r>
    </w:p>
    <w:p>
      <w:pPr>
        <w:pStyle w:val="Heading2"/>
      </w:pPr>
      <w:bookmarkStart w:id="48" w:name="isolating-the-phenomenon"/>
      <w:bookmarkEnd w:id="48"/>
      <w:r>
        <w:t xml:space="preserve">4.2 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5943600" cy="4245428"/>
            <wp:effectExtent b="0" l="0" r="0" t="0"/>
            <wp:docPr descr="Figure 9: goes around here" title="" id="1" name="Picture"/>
            <a:graphic>
              <a:graphicData uri="http://schemas.openxmlformats.org/drawingml/2006/picture">
                <pic:pic>
                  <pic:nvPicPr>
                    <pic:cNvPr descr="../figures/toptombs-1.jpe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9</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2971800"/>
            <wp:effectExtent b="0" l="0" r="0" t="0"/>
            <wp:docPr descr="Figure 10: goes around here" title="" id="1" name="Picture"/>
            <a:graphic>
              <a:graphicData uri="http://schemas.openxmlformats.org/drawingml/2006/picture">
                <pic:pic>
                  <pic:nvPicPr>
                    <pic:cNvPr descr="../figures/groupsab-1.jpeg" id="0"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greatest quantities of burials and grave goods, these tombs nonetheless seem to have achieved that distinction via quite different histories, a divergence made clear in Figure</w:t>
      </w:r>
      <w:r>
        <w:t xml:space="preserve"> </w:t>
      </w:r>
      <w:r>
        <w:t xml:space="preserve">10</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1" w:name="not-all-tombs-are-created-equal"/>
      <w:bookmarkEnd w:id="51"/>
      <w:r>
        <w:t xml:space="preserve">4.3 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5943600" cy="5094514"/>
            <wp:effectExtent b="0" l="0" r="0" t="0"/>
            <wp:docPr descr="Figure 11: goes around here" title="" id="1" name="Picture"/>
            <a:graphic>
              <a:graphicData uri="http://schemas.openxmlformats.org/drawingml/2006/picture">
                <pic:pic>
                  <pic:nvPicPr>
                    <pic:cNvPr descr="../figures/dimensionsboxplots-1.jpeg" id="0" name="Picture"/>
                    <pic:cNvPicPr>
                      <a:picLocks noChangeArrowheads="1" noChangeAspect="1"/>
                    </pic:cNvPicPr>
                  </pic:nvPicPr>
                  <pic:blipFill>
                    <a:blip r:embed="rId52"/>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In Figure</w:t>
      </w:r>
      <w:r>
        <w:t xml:space="preserve"> </w:t>
      </w:r>
      <w:r>
        <w:t xml:space="preserve">11</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5943600" cy="5094514"/>
            <wp:effectExtent b="0" l="0" r="0" t="0"/>
            <wp:docPr descr="Figure 12: goes around here"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3"/>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3: goes around here"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4"/>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What we can say is that no clear relationship existed between the dimensions of a tomb and its eventual buried population (see Figure</w:t>
      </w:r>
      <w:r>
        <w:t xml:space="preserve"> </w:t>
      </w:r>
      <w:r>
        <w:t xml:space="preserve">13</w:t>
      </w:r>
      <w:r>
        <w:t xml:space="preserve">). Many of the very largest tombs are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5" w:name="imports-interments-and-indices-of-wealth"/>
      <w:bookmarkEnd w:id="55"/>
      <w:r>
        <w:t xml:space="preserve">4.4 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4: goes around here" title="" id="1" name="Picture"/>
            <a:graphic>
              <a:graphicData uri="http://schemas.openxmlformats.org/drawingml/2006/picture">
                <pic:pic>
                  <pic:nvPicPr>
                    <pic:cNvPr descr="../figures/tombscompthroughtime-1.jpe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And in Figure</w:t>
      </w:r>
      <w:r>
        <w:t xml:space="preserve"> </w:t>
      </w:r>
      <w:r>
        <w:t xml:space="preserve">14</w:t>
      </w:r>
      <w:r>
        <w:t xml:space="preserve">, we see that the tombs of Group A, while not paultry in the 9th century, were by no means exceptional. They clearly kept pace with the other popular tombs of the time, but their major divergence only occurred in the subsequent two hundred years. Group B, meanwhile, experienced similar, if not greater, use in the 9th century, and then gradually declined. That is, these tombs seem to have followed a more conventional trajectory viz. Figure</w:t>
      </w:r>
      <w:r>
        <w:t xml:space="preserve"> </w:t>
      </w:r>
      <w:r>
        <w:t xml:space="preserve">7</w:t>
      </w:r>
      <w:r>
        <w:t xml:space="preserve">. What might account for this disparity? And if the patterns implied in Figure</w:t>
      </w:r>
      <w:r>
        <w:t xml:space="preserve"> </w:t>
      </w:r>
      <w:r>
        <w:t xml:space="preserve">14</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7" w:name="a-tale-of-two-periods"/>
      <w:bookmarkEnd w:id="57"/>
      <w:r>
        <w:t xml:space="preserve">4.5 A Tale of Two Periods</w:t>
      </w:r>
    </w:p>
    <w:p>
      <w:pPr>
        <w:pStyle w:val="FigureWithCaption"/>
      </w:pPr>
      <w:r>
        <w:drawing>
          <wp:inline>
            <wp:extent cx="5943600" cy="3396342"/>
            <wp:effectExtent b="0" l="0" r="0" t="0"/>
            <wp:docPr descr="Figure 15: goes around here" title="" id="1" name="Picture"/>
            <a:graphic>
              <a:graphicData uri="http://schemas.openxmlformats.org/drawingml/2006/picture">
                <pic:pic>
                  <pic:nvPicPr>
                    <pic:cNvPr descr="../figures/bigbox-1.jpe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goes around here</w:t>
      </w:r>
    </w:p>
    <w:p>
      <w:pPr>
        <w:pStyle w:val="BodyText"/>
      </w:pPr>
      <w:r>
        <w:t xml:space="preserve">Figure</w:t>
      </w:r>
      <w:r>
        <w:t xml:space="preserve"> </w:t>
      </w:r>
      <w:r>
        <w:t xml:space="preserve">15</w:t>
      </w:r>
      <w:r>
        <w:t xml:space="preserve"> </w:t>
      </w:r>
      <w:r>
        <w:t xml:space="preserve">is a boxplot of the total aoristic sums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gini-1.jpe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This characterisation is supported further by considering the Gini coefficient for the distribution of pottery between the tombs (see Figure</w:t>
      </w:r>
      <w:r>
        <w:t xml:space="preserve"> </w:t>
      </w:r>
      <w:r>
        <w:t xml:space="preserve">16</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century#ies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imports-1.jpe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The rise in imported items is readily observable, with a succession of Greek and Near Eastern imports in the late 9th and early 8th centuries (Figure</w:t>
      </w:r>
      <w:r>
        <w:t xml:space="preserve"> </w:t>
      </w:r>
      <w:r>
        <w:t xml:space="preserve">17</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competitive diversity of interments a century earlier.</w:t>
      </w:r>
    </w:p>
    <w:p>
      <w:pPr>
        <w:pStyle w:val="FigureWithCaption"/>
      </w:pPr>
      <w:r>
        <w:drawing>
          <wp:inline>
            <wp:extent cx="5943600" cy="3396342"/>
            <wp:effectExtent b="0" l="0" r="0" t="0"/>
            <wp:docPr descr="Figure 18: goes around here" title="" id="1" name="Picture"/>
            <a:graphic>
              <a:graphicData uri="http://schemas.openxmlformats.org/drawingml/2006/picture">
                <pic:pic>
                  <pic:nvPicPr>
                    <pic:cNvPr descr="../figures/comps-1.jpe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This is reflected further in the changing composition of the mortuary assemblage through time (Figure</w:t>
      </w:r>
      <w:r>
        <w:t xml:space="preserve"> </w:t>
      </w:r>
      <w:r>
        <w:t xml:space="preserve">18</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943600" cy="3962400"/>
            <wp:effectExtent b="0" l="0" r="0" t="0"/>
            <wp:docPr descr="Figure 19: goes around here" title="" id="1" name="Picture"/>
            <a:graphic>
              <a:graphicData uri="http://schemas.openxmlformats.org/drawingml/2006/picture">
                <pic:pic>
                  <pic:nvPicPr>
                    <pic:cNvPr descr="../figures/hists-1.jpeg" id="0" name="Picture"/>
                    <pic:cNvPicPr>
                      <a:picLocks noChangeArrowheads="1" noChangeAspect="1"/>
                    </pic:cNvPicPr>
                  </pic:nvPicPr>
                  <pic:blipFill>
                    <a:blip r:embed="rId6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19: goes around here</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This fact has seldom, if ever, been appreciated in prior discussions of the cemeteries (Figure</w:t>
      </w:r>
      <w:r>
        <w:t xml:space="preserve"> </w:t>
      </w:r>
      <w:r>
        <w:t xml:space="preserve">19</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3" w:name="discussion"/>
      <w:bookmarkEnd w:id="63"/>
      <w:r>
        <w:t xml:space="preserve">5. 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seem instrumental to their extensive reuse.</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C. M. Scarry, et al., 2011; Haggis, Mook, Fitzsimons, M. C. Scarry, et al., 2011)</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Whether the increasingly homogenous burials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according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4" w:name="conclusion"/>
      <w:bookmarkEnd w:id="64"/>
      <w:r>
        <w:t xml:space="preserve">6. 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little mention in the publication, this material was not inconsiderable and so, regretably, future work will be necessary to determine whether it threatens the integrity of these analyses. Suffice to say that, at present, it is another pinch of salt with which to take the present findings.</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5" w:name="pagebreak-1"/>
      <w:bookmarkEnd w:id="65"/>
      <w:r>
        <w:t xml:space="preserve">pagebreak</w:t>
      </w:r>
    </w:p>
    <w:p>
      <w:pPr>
        <w:pStyle w:val="Heading1"/>
      </w:pPr>
      <w:bookmarkStart w:id="66" w:name="acknowledgements"/>
      <w:bookmarkEnd w:id="66"/>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I am indebted most of all to Professor Todd Whitelaw, for his unstinting guidance, feedback and facilitation of my ongoing research.</w:t>
      </w:r>
    </w:p>
    <w:p>
      <w:pPr>
        <w:pStyle w:val="Heading1"/>
      </w:pPr>
      <w:bookmarkStart w:id="67" w:name="funding"/>
      <w:bookmarkEnd w:id="67"/>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68" w:name="pagebreak-2"/>
      <w:bookmarkEnd w:id="68"/>
      <w:r>
        <w:t xml:space="preserve">pagebreak</w:t>
      </w:r>
    </w:p>
    <w:p>
      <w:pPr>
        <w:pStyle w:val="Heading1"/>
      </w:pPr>
      <w:bookmarkStart w:id="69" w:name="references"/>
      <w:bookmarkEnd w:id="69"/>
      <w:r>
        <w:t xml:space="preserve">References</w:t>
      </w:r>
    </w:p>
    <w:p>
      <w:pPr>
        <w:pStyle w:val="FirstParagraph"/>
      </w:pPr>
      <w:r>
        <w:t xml:space="preserve">Antoniadis, V., 2012. Early Iron Age Cementeries at Knossos: The Appreciation of Oriental Imports and their Imitations by Knossian Society (PhD thesis). Universitat Pompeu Fabra.</w:t>
      </w:r>
    </w:p>
    <w:p>
      <w:pPr>
        <w:pStyle w:val="BodyText"/>
      </w:pPr>
      <w:r>
        <w:t xml:space="preserve">Appadurai, A., 1986. The Social Life of Things : commodities in cultural perspective. Cambridge University Press, Cambridge.</w:t>
      </w:r>
    </w:p>
    <w:p>
      <w:pPr>
        <w:pStyle w:val="BodyText"/>
      </w:pPr>
      <w:r>
        <w:t xml:space="preserve">Bevan, A., Wilson, A., 2013. Models of settlement hierarchy based on partial evidence. Journal of Archaeological Science 40, 2415–2427.</w:t>
      </w:r>
    </w:p>
    <w:p>
      <w:pPr>
        <w:pStyle w:val="BodyText"/>
      </w:pPr>
      <w:r>
        <w:t xml:space="preserve">Blackman, D., 1999. Archaeology in Greece, 1998-99. Archaeological Reports 45, 1–124.</w:t>
      </w:r>
    </w:p>
    <w:p>
      <w:pPr>
        <w:pStyle w:val="BodyText"/>
      </w:pPr>
      <w:r>
        <w:t xml:space="preserve">Boardman, J., 1967. The Khaniale Tekke Tombs, II. The Annual of the British School at Athens 62, 57–75.</w:t>
      </w:r>
    </w:p>
    <w:p>
      <w:pPr>
        <w:pStyle w:val="BodyText"/>
      </w:pPr>
      <w:r>
        <w:t xml:space="preserve">Boardman, J., 1960. Protogeometric graves at Agios Ioannis near Knossos. The Annual of the British School at Athens 55, 128–148.</w:t>
      </w:r>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p>
    <w:p>
      <w:pPr>
        <w:pStyle w:val="BodyText"/>
      </w:pPr>
      <w:r>
        <w:t xml:space="preserve">Cavanagh, W., 1996. The Burial Customs, in: Coldstream, J., Catling, H.W. (Eds.), Knossos North Cemetery: Early Greek Tombs. The British School at Athens Supplement 28. Vol.II, London, pp. 651–675.</w:t>
      </w:r>
    </w:p>
    <w:p>
      <w:pPr>
        <w:pStyle w:val="BodyText"/>
      </w:pPr>
      <w:r>
        <w:t xml:space="preserve">Coldstream, J., 2006. Knossos in Early Greek Times, in: Deger-Jalkotzy, S., Lemos, I.S. (Eds.), Ancient Greece: From the Mycenaean Palaces to the Age of Homer. Edinburgh University Press, Edinburgh, pp. 581–596.</w:t>
      </w:r>
    </w:p>
    <w:p>
      <w:pPr>
        <w:pStyle w:val="BodyText"/>
      </w:pPr>
      <w:r>
        <w:t xml:space="preserve">Coldstream, J., 2000. Evans’ Greek Finds: The Early Greek Town of Knossos, and its Encroachment on the Borders of the Minoan Palace. The Annual of the British School at Athens 95, 260–299.</w:t>
      </w:r>
    </w:p>
    <w:p>
      <w:pPr>
        <w:pStyle w:val="BodyText"/>
      </w:pPr>
      <w:r>
        <w:t xml:space="preserve">Coldstream, J.,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 1984a. Dorian Knossos and Aristotle’s Villages, in: Glotz, C.G. (Ed.), Aux Origines de L’Hellénisme: La Crète et La Grèce. Hommage à Henri van Effenterre. Université de Paris-I, Paris, pp. 311–322.</w:t>
      </w:r>
    </w:p>
    <w:p>
      <w:pPr>
        <w:pStyle w:val="BodyText"/>
      </w:pPr>
      <w:r>
        <w:t xml:space="preserve">Coldstream, J., 1984b. A Protogeometric Nature Goddess from Knossos. Bulletin of the Institute of Classical Studies 31, 93–104.</w:t>
      </w:r>
    </w:p>
    <w:p>
      <w:pPr>
        <w:pStyle w:val="BodyText"/>
      </w:pPr>
      <w:r>
        <w:t xml:space="preserve">Coldstream, J., Huxley, G., 1996. Fortetsa 1967 Tombs, in: Coldstream, J., Catling, H.W. (Eds.), Knossos North Cemetery: Early Greek Tombs. The British School at Athens Supplement 28. Vol.I, London, p. 284.</w:t>
      </w:r>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 Knossos North Cemetery: Early Greek Tombs. The British School at Athens Supplement 28. Vol.I-IV, London.</w:t>
      </w:r>
    </w:p>
    <w:p>
      <w:pPr>
        <w:pStyle w:val="BodyText"/>
      </w:pPr>
      <w:r>
        <w:t xml:space="preserve">Coldstream, J.N., Huxley, G.L., Webb, V.E.S., 1999. Knossos: The Archaic Gap. The Annual of the British School at Athens 94, 289–307.</w:t>
      </w:r>
    </w:p>
    <w:p>
      <w:pPr>
        <w:pStyle w:val="BodyText"/>
      </w:pPr>
      <w:r>
        <w:t xml:space="preserve">Crema, E.R., 2012. Modelling Temporal Uncertainty in Archaeological Analysis. Journal of Archaeological Method Theory 19, 440–461.</w:t>
      </w:r>
    </w:p>
    <w:p>
      <w:pPr>
        <w:pStyle w:val="BodyText"/>
      </w:pPr>
      <w:r>
        <w:t xml:space="preserve">Crema, E.R., Bevan, A., Lake, M.W., 2010. A probabilistic framework for assessing spatio-temporal point patterns in the archaeological record. Journal of Archaeological Science 37, 1118–1130.</w:t>
      </w:r>
    </w:p>
    <w:p>
      <w:pPr>
        <w:pStyle w:val="BodyText"/>
      </w:pPr>
      <w:r>
        <w:t xml:space="preserve">Crowe, A., 2016. The Minoan Past in the Past: Bronze Age Objects in Early Iron Age Burials at Knossos, Crete (PhD thesis).</w:t>
      </w:r>
    </w:p>
    <w:p>
      <w:pPr>
        <w:pStyle w:val="BodyText"/>
      </w:pPr>
      <w:r>
        <w:t xml:space="preserve">Davaras, C., 1968. Two Geometric Tombs at Atsalenio near Knossos. The Annual of the British School at Athens 63, 133–146.</w:t>
      </w:r>
    </w:p>
    <w:p>
      <w:pPr>
        <w:pStyle w:val="BodyText"/>
      </w:pPr>
      <w:r>
        <w:t xml:space="preserve">Desborough, V.R. d’Arba, 1972. The Greek Dark Ages. Benn, London.</w:t>
      </w:r>
    </w:p>
    <w:p>
      <w:pPr>
        <w:pStyle w:val="BodyText"/>
      </w:pPr>
      <w:r>
        <w:t xml:space="preserve">Erickson, B.L., 2010. Crete in transition: pottery styles and island history in the archaic and classical periods / Brice L. Erickson., Hesperia (princeton, n.J.). supplement ; 45. American School of Classical Studies at Athens, Princeton, NJ.</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Evely, D., 2012. Knossos Teke (property of G. and N. Frangiadakis). Chronique des fouilles en ligne. École française d’Athènes.</w:t>
      </w:r>
    </w:p>
    <w:p>
      <w:pPr>
        <w:pStyle w:val="BodyText"/>
      </w:pPr>
      <w:r>
        <w:t xml:space="preserve">French, E., 1991. Archaeology in Greece, 1990-91. Archaeological Reports 37, 3–78.</w:t>
      </w:r>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Gesell, G.C., Preston Day, L., 2005. Kavousi I: the archaeological survey of the Kavousi Region. INSTAP Academic Press, Philadelphia, Pennsylvania.</w:t>
      </w:r>
    </w:p>
    <w:p>
      <w:pPr>
        <w:pStyle w:val="BodyText"/>
      </w:pPr>
      <w:r>
        <w:t xml:space="preserve">Haggis, D.C., Mook, M.S., Fitzsimons, R.D., Scarry, C.M., Snyder, L.M., West, W.C., 2011. Excavations in the Archaic Civic Buildings at Azoria in 2005-2006. The Journal of the American School of Classical Studies at Athens 80, 1–70.</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Hallager, B.P., 2010. The elusive Late IIIC and the ill-named Subminoan. British School at Athens Studies 18, 141–155.</w:t>
      </w:r>
    </w:p>
    <w:p>
      <w:pPr>
        <w:pStyle w:val="BodyText"/>
      </w:pPr>
      <w:r>
        <w:t xml:space="preserve">Hayden, B.J., 2005. Reports on the Vrokastro area, eastern Crete. Vol. 3, The Vrokastro regional survey project: sites and pottery, University museum monograph ; 123. University of Pennsylvania Museum of Archaeology; Anthropology, Philadelphia.</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Knappett, C., 2011. An archaeology of interaction: network perspectives on material culture and society. Oxford University Press, Oxford.</w:t>
      </w:r>
    </w:p>
    <w:p>
      <w:pPr>
        <w:pStyle w:val="BodyText"/>
      </w:pPr>
      <w:r>
        <w:t xml:space="preserve">Knappett, C., Rivers, R., Evans, T., 2011. The Theran eruption and Minoan palatial collapse: new interpretations gained from modelling the maritime network. Antiquity 85.</w:t>
      </w:r>
    </w:p>
    <w:p>
      <w:pPr>
        <w:pStyle w:val="BodyText"/>
      </w:pPr>
      <w:r>
        <w:t xml:space="preserve">Kopytoff, I., 1986. The cultural biography of things: commoditization as process, in: Appadurai, A. (Ed.), The Social Life of Things: Commodities in Cultural …. Cambridge University Press, Cambridge, pp. 64–92.</w:t>
      </w:r>
    </w:p>
    <w:p>
      <w:pPr>
        <w:pStyle w:val="BodyText"/>
      </w:pPr>
      <w:r>
        <w:t xml:space="preserve">Kotsonas, A., 2016. Politics of Periodization and the Archaeology of Early Greece. American Journal of Archaeology 120, 239–270.</w:t>
      </w:r>
    </w:p>
    <w:p>
      <w:pPr>
        <w:pStyle w:val="BodyText"/>
      </w:pPr>
      <w:r>
        <w:t xml:space="preserve">Kotsonas, A., 2011a. Saro Wallace, Ancient Crete: From Successful Collapse to Democracy’s Alternatives, Twelfth to Fifth Centuries BC. Cambridge/New York: Cambridge University Press, 2010. Pp. xxvi, 450; 6 p. of plates. ISBN 9780521112048. $99.00. Bryn Mawr Classical Review 4.</w:t>
      </w:r>
    </w:p>
    <w:p>
      <w:pPr>
        <w:pStyle w:val="BodyText"/>
      </w:pPr>
      <w:r>
        <w:t xml:space="preserve">Kotsonas, A., 2011b.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p>
    <w:p>
      <w:pPr>
        <w:pStyle w:val="BodyText"/>
      </w:pPr>
      <w:r>
        <w:t xml:space="preserve">Kotsonas, A., 2002. The rise of the polis in Central Crete. ’Eulimene 37–74.</w:t>
      </w:r>
    </w:p>
    <w:p>
      <w:pPr>
        <w:pStyle w:val="BodyText"/>
      </w:pPr>
      <w:r>
        <w:t xml:space="preserve">Kotsonas, A., Whitelaw, T., Vasilakis, A., Bredaki, M., 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t xml:space="preserve">Έ</w:t>
      </w:r>
      <m:oMath>
        <m:r>
          <m:t>ν</m:t>
        </m:r>
      </m:oMath>
      <m:oMath>
        <m:r>
          <m:t>α</m:t>
        </m:r>
      </m:oMath>
      <w:r>
        <w:t xml:space="preserve"> </w:t>
      </w:r>
      <m:oMath>
        <m:r>
          <m:t>τ</m:t>
        </m:r>
      </m:oMath>
      <w:r>
        <w:t xml:space="preserve">ο</w:t>
      </w:r>
      <m:oMath>
        <m:r>
          <m:t>υ</m:t>
        </m:r>
      </m:oMath>
      <w:r>
        <w:t xml:space="preserve"> </w:t>
      </w:r>
      <w:r>
        <w:t xml:space="preserve">11ο</w:t>
      </w:r>
      <m:oMath>
        <m:r>
          <m:t>υ</m:t>
        </m:r>
      </m:oMath>
      <w:r>
        <w:t xml:space="preserve"> </w:t>
      </w:r>
      <m:oMath>
        <m:r>
          <m:t>Δ</m:t>
        </m:r>
      </m:oMath>
      <m:oMath>
        <m:r>
          <m:t>ι</m:t>
        </m:r>
      </m:oMath>
      <m:oMath>
        <m:r>
          <m:t>ϵ</m:t>
        </m:r>
      </m:oMath>
      <m:oMath>
        <m:r>
          <m:t>θ</m:t>
        </m:r>
      </m:oMath>
      <w:r>
        <w:t xml:space="preserve">ούς κ</w:t>
      </w:r>
      <m:oMath>
        <m:r>
          <m:t>ρ</m:t>
        </m:r>
      </m:oMath>
      <m:oMath>
        <m:r>
          <m:t>η</m:t>
        </m:r>
      </m:oMath>
      <m:oMath>
        <m:r>
          <m:t>τ</m:t>
        </m:r>
      </m:oMath>
      <w:r>
        <w:t xml:space="preserve">ο</w:t>
      </w:r>
      <m:oMath>
        <m:r>
          <m:t>λ</m:t>
        </m:r>
      </m:oMath>
      <w:r>
        <w:t xml:space="preserve">ο</w:t>
      </w:r>
      <m:oMath>
        <m:r>
          <m:t>γ</m:t>
        </m:r>
      </m:oMath>
      <m:oMath>
        <m:r>
          <m:t>ι</m:t>
        </m:r>
      </m:oMath>
      <m:oMath>
        <m:r>
          <m:t>κ</m:t>
        </m:r>
      </m:oMath>
      <w:r>
        <w:t xml:space="preserve">ού</w:t>
      </w:r>
      <w:r>
        <w:t xml:space="preserve"> </w:t>
      </w:r>
      <m:oMath>
        <m:r>
          <m:t>Σ</m:t>
        </m:r>
      </m:oMath>
      <m:oMath>
        <m:r>
          <m:t>υ</m:t>
        </m:r>
      </m:oMath>
      <m:oMath>
        <m:r>
          <m:t>ν</m:t>
        </m:r>
      </m:oMath>
      <m:oMath>
        <m:r>
          <m:t>ϵ</m:t>
        </m:r>
      </m:oMath>
      <m:oMath>
        <m:r>
          <m:t>ρ</m:t>
        </m:r>
      </m:oMath>
      <m:oMath>
        <m:r>
          <m:t>δ</m:t>
        </m:r>
      </m:oMath>
      <w:r>
        <w:t xml:space="preserve">ίο</w:t>
      </w:r>
      <m:oMath>
        <m:r>
          <m:t>υ</m:t>
        </m:r>
      </m:oMath>
      <w:r>
        <w:t xml:space="preserve">, ρέ</w:t>
      </w:r>
      <m:oMath>
        <m:r>
          <m:t>θ</m:t>
        </m:r>
      </m:oMath>
      <m:oMath>
        <m:r>
          <m:t>υ</m:t>
        </m:r>
      </m:oMath>
      <m:oMath>
        <m:r>
          <m:t>μ</m:t>
        </m:r>
      </m:oMath>
      <m:oMath>
        <m:r>
          <m:t>ν</m:t>
        </m:r>
      </m:oMath>
      <w:r>
        <w:t xml:space="preserve">ο, 21-27 ο</w:t>
      </w:r>
      <m:oMath>
        <m:r>
          <m:t>κ</m:t>
        </m:r>
      </m:oMath>
      <m:oMath>
        <m:r>
          <m:t>τ</m:t>
        </m:r>
      </m:oMath>
      <m:oMath>
        <m:r>
          <m:t>ω</m:t>
        </m:r>
      </m:oMath>
      <m:oMath>
        <m:r>
          <m:t>β</m:t>
        </m:r>
      </m:oMath>
      <m:oMath>
        <m:r>
          <m:t>ρ</m:t>
        </m:r>
      </m:oMath>
      <w:r>
        <w:t xml:space="preserve">ίο</w:t>
      </w:r>
      <m:oMath>
        <m:r>
          <m:t>υ</m:t>
        </m:r>
      </m:oMath>
      <w:r>
        <w:t xml:space="preserve"> </w:t>
      </w:r>
      <w:r>
        <w:t xml:space="preserve">2011. Ρέ</w:t>
      </w:r>
      <m:oMath>
        <m:r>
          <m:t>θ</m:t>
        </m:r>
      </m:oMath>
      <m:oMath>
        <m:r>
          <m:t>υ</m:t>
        </m:r>
      </m:oMath>
      <m:oMath>
        <m:r>
          <m:t>μ</m:t>
        </m:r>
      </m:oMath>
      <m:oMath>
        <m:r>
          <m:t>ν</m:t>
        </m:r>
      </m:oMath>
      <w:r>
        <w:t xml:space="preserve">ο.</w:t>
      </w:r>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70">
        <w:r>
          <w:rPr>
            <w:rStyle w:val="Hyperlink"/>
          </w:rPr>
          <w:t xml:space="preserve">https://doi.org/10.1007/s10816-015-9272-9</w:t>
        </w:r>
      </w:hyperlink>
    </w:p>
    <w:p>
      <w:pPr>
        <w:pStyle w:val="BodyText"/>
      </w:pPr>
      <w:r>
        <w:t xml:space="preserve">Marwick, B., 2017b. Using R and related tools for reproducible research in archaeology, in: The Practice of Reproducible Research: Case Studies and Lessons from the Data-Intensive Sciences. pp. 181–190.</w:t>
      </w:r>
    </w:p>
    <w:p>
      <w:pPr>
        <w:pStyle w:val="BodyText"/>
      </w:pPr>
      <w:r>
        <w:t xml:space="preserve">Marwick, B., Pilaar Birch, S.E., 2018. A Standard for the Scholarly Citation of Archaeological Data as an Incentive to Data Sharing. Advances in Archaeological Practice 6, 1–19.</w:t>
      </w:r>
      <w:r>
        <w:t xml:space="preserve"> </w:t>
      </w:r>
      <w:hyperlink r:id="rId71">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Musgrave, J., 1996. The Human Bones, in: Coldstream, J., Catling, H.W. (Eds.), Knossos North Cemetery: Early Greek Tombs. The British School at Athens Supplement 28. Vol.II, London, pp. 677–702.</w:t>
      </w:r>
    </w:p>
    <w:p>
      <w:pPr>
        <w:pStyle w:val="BodyText"/>
      </w:pPr>
      <w:r>
        <w:t xml:space="preserve">Nowicki, K., 2000. Defensible sites in Crete c.1200-800 B.C. : (LM IIIB/IIIC through early Geometric). Université de Liège, Liège.</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1971. The Dark Age of Greece. An Archaeological Survey of the Eleventh to the Eighth Centuries BC. Edinburgh University Press, Edinburgh.</w:t>
      </w:r>
    </w:p>
    <w:p>
      <w:pPr>
        <w:pStyle w:val="BodyText"/>
      </w:pPr>
      <w:r>
        <w:t xml:space="preserve">Wallace, S., 2010. Ancient Crete: From Successful Collapse to Democracy’s Alternatives, Twelth to Fifth Centuries BC. Cambridge University Press#, Cambridge.</w:t>
      </w:r>
    </w:p>
    <w:p>
      <w:pPr>
        <w:pStyle w:val="BodyText"/>
      </w:pPr>
      <w:r>
        <w:t xml:space="preserve">Watrous, L.V., Haggis, D.C., Nowicki, K., Vogeikoff-Brogan, N., Schultz, M., 2012. An archaeological survey of the Gournia landscape: a regional history of the Mirabello Bay, Crete, in antiquity, Prehistory monographs ; 37. INSTAP Academic Press, Philadelphia.</w:t>
      </w:r>
    </w:p>
    <w:p>
      <w:pPr>
        <w:pStyle w:val="BodyText"/>
      </w:pPr>
      <w:r>
        <w:t xml:space="preserve">Whitley, J., 2011. Saro Wallace. Ancient Crete: From Successful Collapse to Democracy’s Alternatives, Twelfth to Fifth Centuries BC. (review). American Journal of Philology 132, 667–670.</w:t>
      </w:r>
      <w:r>
        <w:t xml:space="preserve"> </w:t>
      </w:r>
      <w:hyperlink r:id="rId72">
        <w:r>
          <w:rPr>
            <w:rStyle w:val="Hyperlink"/>
          </w:rPr>
          <w:t xml:space="preserve">https://doi.org/10.1353/ajp.2011.0043</w:t>
        </w:r>
      </w:hyperlink>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BodyText"/>
      </w:pPr>
      <w:r>
        <w:t xml:space="preserve">Α</w:t>
      </w:r>
      <m:oMath>
        <m:r>
          <m:t>λ</m:t>
        </m:r>
      </m:oMath>
      <m:oMath>
        <m:r>
          <m:t>ϵ</m:t>
        </m:r>
      </m:oMath>
      <m:oMath>
        <m:r>
          <m:t>ξ</m:t>
        </m:r>
      </m:oMath>
      <w:r>
        <w:t xml:space="preserve">ίο</w:t>
      </w:r>
      <m:oMath>
        <m:r>
          <m:t>υ</m:t>
        </m:r>
      </m:oMath>
      <w:r>
        <w:t xml:space="preserve">, \., 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 Κ</w:t>
      </w:r>
      <m:oMath>
        <m:r>
          <m:t>ρ</m:t>
        </m:r>
      </m:oMath>
      <m:oMath>
        <m:r>
          <m:t>η</m:t>
        </m:r>
      </m:oMath>
      <m:oMath>
        <m:r>
          <m:t>τ</m:t>
        </m:r>
      </m:oMath>
      <m:oMath>
        <m:r>
          <m:t>ι</m:t>
        </m:r>
      </m:oMath>
      <m:oMath>
        <m:r>
          <m:t>κ</m:t>
        </m:r>
      </m:oMath>
      <w:r>
        <w:t xml:space="preserve">ά Χ</w:t>
      </w:r>
      <m:oMath>
        <m:r>
          <m:t>ρ</m:t>
        </m:r>
      </m:oMath>
      <w:r>
        <w:t xml:space="preserve">ο</w:t>
      </w:r>
      <m:oMath>
        <m:r>
          <m:t>ν</m:t>
        </m:r>
      </m:oMath>
      <m:oMath>
        <m:r>
          <m:t>ι</m:t>
        </m:r>
      </m:oMath>
      <m:oMath>
        <m:r>
          <m:t>κ</m:t>
        </m:r>
      </m:oMath>
      <w:r>
        <w:t xml:space="preserve">ά 4, 294–318.</w:t>
      </w:r>
    </w:p>
    <w:p>
      <w:pPr>
        <w:pStyle w:val="Heading5"/>
      </w:pPr>
      <w:bookmarkStart w:id="73" w:name="pagebreak-3"/>
      <w:bookmarkEnd w:id="73"/>
      <w:r>
        <w:t xml:space="preserve">pagebreak</w:t>
      </w:r>
    </w:p>
    <w:p>
      <w:pPr>
        <w:pStyle w:val="Heading1"/>
      </w:pPr>
      <w:bookmarkStart w:id="74" w:name="captions"/>
      <w:bookmarkEnd w:id="74"/>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counts are based on the ceramic phase considered most likely to correspond to the tomb’s first use (including simply</w:t>
      </w:r>
      <w:r>
        <w:rPr>
          <w:i/>
        </w:rPr>
        <w:t xml:space="preserve"> </w:t>
      </w:r>
      <w:r>
        <w:rPr>
          <w:i/>
        </w:rPr>
        <w:t xml:space="preserve">‘</w:t>
      </w:r>
      <w:r>
        <w:rPr>
          <w:i/>
        </w:rPr>
        <w:t xml:space="preserve">PG</w:t>
      </w:r>
      <w:r>
        <w:rPr>
          <w:i/>
        </w:rPr>
        <w:t xml:space="preserve">’</w:t>
      </w:r>
      <w:r>
        <w:rPr>
          <w:i/>
        </w:rPr>
        <w:t xml:space="preserve">,</w:t>
      </w:r>
      <w:r>
        <w:rPr>
          <w:i/>
        </w:rPr>
        <w:t xml:space="preserve"> </w:t>
      </w:r>
      <w:r>
        <w:rPr>
          <w:i/>
        </w:rPr>
        <w:t xml:space="preserve">‘</w:t>
      </w:r>
      <w:r>
        <w:rPr>
          <w:i/>
        </w:rPr>
        <w:t xml:space="preserve">G</w:t>
      </w:r>
      <w:r>
        <w:rPr>
          <w:i/>
        </w:rPr>
        <w:t xml:space="preserve">’</w:t>
      </w:r>
      <w:r>
        <w:rPr>
          <w:i/>
        </w:rPr>
        <w:t xml:space="preserve"> </w:t>
      </w:r>
      <w:r>
        <w:rPr>
          <w:i/>
        </w:rPr>
        <w:t xml:space="preserve">and</w:t>
      </w:r>
      <w:r>
        <w:rPr>
          <w:i/>
        </w:rPr>
        <w:t xml:space="preserve"> </w:t>
      </w:r>
      <w:r>
        <w:rPr>
          <w:i/>
        </w:rPr>
        <w:t xml:space="preserve">‘</w:t>
      </w:r>
      <w:r>
        <w:rPr>
          <w:i/>
        </w:rPr>
        <w:t xml:space="preserve">O</w:t>
      </w:r>
      <w:r>
        <w:rPr>
          <w:i/>
        </w:rPr>
        <w:t xml:space="preserve">’</w:t>
      </w:r>
      <w:r>
        <w:rPr>
          <w:i/>
        </w:rPr>
        <w:t xml:space="preserve"> </w:t>
      </w:r>
      <w:r>
        <w:rPr>
          <w:i/>
        </w:rPr>
        <w:t xml:space="preserve">where no greater specificity was possible). On the right, aoristic sums are presented, spreading the uncertainty associated with those general assignations. In both cases, tombs lacking any securely dateable pottery are excluded.</w:t>
      </w:r>
      <w:r>
        <w:t xml:space="preserve"> </w:t>
      </w:r>
      <w:r>
        <w:rPr>
          <w:i/>
        </w:rPr>
        <w:t xml:space="preserve">Abbreviations</w:t>
      </w:r>
      <w:r>
        <w:t xml:space="preserve"> </w:t>
      </w:r>
      <w:r>
        <w:rPr>
          <w:i/>
        </w:rPr>
        <w:t xml:space="preserve">SM - Subminoan; (E/M/L)PG - (Early/Middle/Late) Protogeometric; PGB - Protogeometric B; (E/M/L)G - (Early/Middle/Late) Geometric; (E/L)O - (Early/Late) Orientalising</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Aoristic sums for the Group A and Group B tombs, as defined above.</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 comparing the dimensions of</w:t>
      </w:r>
      <w:r>
        <w:t xml:space="preserve"> </w:t>
      </w:r>
      <w:r>
        <w:t xml:space="preserve">dromos</w:t>
      </w:r>
      <w:r>
        <w:t xml:space="preserve"> </w:t>
      </w:r>
      <w:r>
        <w:rPr>
          <w:i/>
        </w:rPr>
        <w:t xml:space="preserve">length and chamber area. Groups A and B, defined earlier, are illustrated and labelled in green and orange respectively, while all remaining tombs (</w:t>
      </w:r>
      <w:r>
        <w:rPr>
          <w:i/>
        </w:rPr>
        <w:t xml:space="preserve">‘</w:t>
      </w:r>
      <w:r>
        <w:rPr>
          <w:i/>
        </w:rPr>
        <w:t xml:space="preserve">Group C</w:t>
      </w:r>
      <w:r>
        <w:rPr>
          <w:i/>
        </w:rPr>
        <w:t xml:space="preserve">’</w:t>
      </w:r>
      <w:r>
        <w:rPr>
          <w:i/>
        </w:rPr>
        <w:t xml:space="preserve">) are in blue.</w:t>
      </w:r>
    </w:p>
    <w:p>
      <w:pPr>
        <w:pStyle w:val="BodyText"/>
      </w:pPr>
      <w:r>
        <w:rPr>
          <w:i/>
        </w:rPr>
        <w:t xml:space="preserve">Figure 13 Scatterplots comparing tomb dimensions (chamber area and</w:t>
      </w:r>
      <w:r>
        <w:t xml:space="preserve"> </w:t>
      </w:r>
      <w:r>
        <w:t xml:space="preserve">dromos</w:t>
      </w:r>
      <w:r>
        <w:t xml:space="preserve"> </w:t>
      </w:r>
      <w:r>
        <w:rPr>
          <w:i/>
        </w:rPr>
        <w:t xml:space="preserve">length) to the estimated total number of burials by tomb. The points area colour-coded as per Figure 12.</w:t>
      </w:r>
    </w:p>
    <w:p>
      <w:pPr>
        <w:pStyle w:val="BodyText"/>
      </w:pPr>
      <w:r>
        <w:rPr>
          <w:i/>
        </w:rPr>
        <w:t xml:space="preserve">Figure 14 Counts of vessels dating to the 9th, 8th and 7th centuries respectively, found in tombs built in the 10th or 9th century which yielded upwards of 50 vessels when excavated. The tombs are colour-coded as per Figure 12.</w:t>
      </w:r>
    </w:p>
    <w:p>
      <w:pPr>
        <w:pStyle w:val="BodyText"/>
      </w:pPr>
      <w:r>
        <w:rPr>
          <w:i/>
        </w:rPr>
        <w:t xml:space="preserve">Figure 15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rPr>
          <w:i/>
        </w:rPr>
        <w:t xml:space="preserve">Figure 16 Gini coefficient values through time based on the aoristic sums for all vessels across both cemeteries. Background colours correspond to ceramic periods.</w:t>
      </w:r>
    </w:p>
    <w:p>
      <w:pPr>
        <w:pStyle w:val="BodyText"/>
      </w:pPr>
      <w:r>
        <w:rPr>
          <w:i/>
        </w:rPr>
        <w:t xml:space="preserve">Figure 17 Aoristic sums of imported and</w:t>
      </w:r>
      <w:r>
        <w:rPr>
          <w:i/>
        </w:rPr>
        <w:t xml:space="preserve"> </w:t>
      </w:r>
      <w:r>
        <w:rPr>
          <w:i/>
        </w:rPr>
        <w:t xml:space="preserve">‘</w:t>
      </w:r>
      <w:r>
        <w:rPr>
          <w:i/>
        </w:rPr>
        <w:t xml:space="preserve">oriental</w:t>
      </w:r>
      <w:r>
        <w:rPr>
          <w:i/>
        </w:rPr>
        <w:t xml:space="preserve">’</w:t>
      </w:r>
      <w:r>
        <w:rPr>
          <w:i/>
        </w:rPr>
        <w:t xml:space="preserve"> </w:t>
      </w:r>
      <w:r>
        <w:rPr>
          <w:i/>
        </w:rPr>
        <w:t xml:space="preserve">imitation vessels through time across both cemeteries, colour-coded by regional origin in the case of imports.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jewellery (beads, necklaces, rings, diadems etc.), metal objects, and imported items by tomb across both cemeteries and, secondly, to those counts divided by the estimated number of burials in each tomb.</w:t>
      </w:r>
    </w:p>
    <w:p>
      <w:pPr>
        <w:pStyle w:val="Heading5"/>
      </w:pPr>
      <w:bookmarkStart w:id="75" w:name="pagebreak-4"/>
      <w:bookmarkEnd w:id="75"/>
      <w:r>
        <w:t xml:space="preserve">pagebreak</w:t>
      </w:r>
    </w:p>
    <w:p>
      <w:pPr>
        <w:pStyle w:val="Heading1"/>
      </w:pPr>
      <w:bookmarkStart w:id="76" w:name="figures"/>
      <w:bookmarkEnd w:id="76"/>
      <w:r>
        <w:t xml:space="preserve">Figures</w:t>
      </w:r>
    </w:p>
    <w:p>
      <w:pPr>
        <w:pStyle w:val="Heading5"/>
      </w:pPr>
      <w:bookmarkStart w:id="77" w:name="pagebreak-5"/>
      <w:bookmarkEnd w:id="77"/>
      <w:r>
        <w:t xml:space="preserve">pagebreak</w:t>
      </w:r>
    </w:p>
    <w:p>
      <w:pPr>
        <w:pStyle w:val="Heading1"/>
      </w:pPr>
      <w:bookmarkStart w:id="78" w:name="tables"/>
      <w:bookmarkEnd w:id="78"/>
      <w:r>
        <w:t xml:space="preserve">Tables</w:t>
      </w:r>
    </w:p>
    <w:p>
      <w:pPr>
        <w:pStyle w:val="Heading5"/>
      </w:pPr>
      <w:bookmarkStart w:id="79" w:name="pagebreak-6"/>
      <w:bookmarkEnd w:id="79"/>
      <w:r>
        <w:t xml:space="preserve">pagebreak</w:t>
      </w:r>
    </w:p>
    <w:p>
      <w:pPr>
        <w:pStyle w:val="Heading3"/>
      </w:pPr>
      <w:bookmarkStart w:id="80" w:name="colophon"/>
      <w:bookmarkEnd w:id="80"/>
      <w:r>
        <w:t xml:space="preserve">Colophon</w:t>
      </w:r>
    </w:p>
    <w:p>
      <w:pPr>
        <w:pStyle w:val="FirstParagraph"/>
      </w:pPr>
      <w:r>
        <w:t xml:space="preserve">This report was generated on 2020-10-12 17:34:34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2020-10-12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0.3.3   2019-10-18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2.1.2   2018-03-15 [1] CRAN (R 3.5.2)</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[6cfd9d9] 2020-10-09: Edited Readme</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eaace9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58" Target="media/rId58.jpg" /><Relationship Type="http://schemas.openxmlformats.org/officeDocument/2006/relationships/image" Id="rId38" Target="media/rId38.jpg" /><Relationship Type="http://schemas.openxmlformats.org/officeDocument/2006/relationships/image" Id="rId61" Target="media/rId61.jpg" /><Relationship Type="http://schemas.openxmlformats.org/officeDocument/2006/relationships/image" Id="rId52" Target="media/rId52.jpg" /><Relationship Type="http://schemas.openxmlformats.org/officeDocument/2006/relationships/image" Id="rId59" Target="media/rId59.jpg" /><Relationship Type="http://schemas.openxmlformats.org/officeDocument/2006/relationships/image" Id="rId50" Target="media/rId50.jpg" /><Relationship Type="http://schemas.openxmlformats.org/officeDocument/2006/relationships/image" Id="rId62" Target="media/rId62.jpg" /><Relationship Type="http://schemas.openxmlformats.org/officeDocument/2006/relationships/image" Id="rId60" Target="media/rId60.jpg" /><Relationship Type="http://schemas.openxmlformats.org/officeDocument/2006/relationships/image" Id="rId47" Target="media/rId47.jpg" /><Relationship Type="http://schemas.openxmlformats.org/officeDocument/2006/relationships/image" Id="rId44" Target="media/rId44.jpg" /><Relationship Type="http://schemas.openxmlformats.org/officeDocument/2006/relationships/image" Id="rId54" Target="media/rId54.jpg" /><Relationship Type="http://schemas.openxmlformats.org/officeDocument/2006/relationships/image" Id="rId53" Target="media/rId53.jpg" /><Relationship Type="http://schemas.openxmlformats.org/officeDocument/2006/relationships/image" Id="rId56" Target="media/rId56.jpg" /><Relationship Type="http://schemas.openxmlformats.org/officeDocument/2006/relationships/image" Id="rId45" Target="media/rId45.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hyperlink" Id="rId70" Target="https://doi.org/10.1007/s10816-015-9272-9" TargetMode="External" /><Relationship Type="http://schemas.openxmlformats.org/officeDocument/2006/relationships/hyperlink" Id="rId71" Target="https://doi.org/10.1017/aap.2018.3" TargetMode="External" /><Relationship Type="http://schemas.openxmlformats.org/officeDocument/2006/relationships/hyperlink" Id="rId72"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0" Target="https://doi.org/10.1007/s10816-015-9272-9" TargetMode="External" /><Relationship Type="http://schemas.openxmlformats.org/officeDocument/2006/relationships/hyperlink" Id="rId71" Target="https://doi.org/10.1017/aap.2018.3" TargetMode="External" /><Relationship Type="http://schemas.openxmlformats.org/officeDocument/2006/relationships/hyperlink" Id="rId72"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31-34 Gordon Square, Bloomsbury, London WC1H 0PY, United Kingdom; dominic.pollard.16@ucl.ac.uk</dc:creator>
  <dcterms:created xsi:type="dcterms:W3CDTF">2020-10-12T16:34:40Z</dcterms:created>
  <dcterms:modified xsi:type="dcterms:W3CDTF">2020-10-12T16:34:40Z</dcterms:modified>
</cp:coreProperties>
</file>